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1446" w:firstLineChars="400"/>
        <w:jc w:val="both"/>
        <w:textAlignment w:val="auto"/>
        <w:rPr>
          <w:rFonts w:ascii="仿宋" w:hAnsi="仿宋" w:eastAsia="仿宋" w:cs="仿宋"/>
          <w:b/>
          <w:bCs/>
          <w:sz w:val="36"/>
          <w:szCs w:val="36"/>
        </w:rPr>
      </w:pPr>
      <w:r>
        <w:rPr>
          <w:rFonts w:hint="eastAsia" w:ascii="仿宋" w:hAnsi="仿宋" w:eastAsia="仿宋" w:cs="仿宋"/>
          <w:b/>
          <w:bCs/>
          <w:sz w:val="36"/>
          <w:szCs w:val="36"/>
        </w:rPr>
        <w:t>子基金管理机构及管理团队简介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（一）管理机构的基本情况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基本概况：机构名称、组织形式、法定代表人、注册资本、等基本信息</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股东（合伙人）的基本情况及变动历史</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（1）现有合伙人情况介绍</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（2）管理机构内部的收益分配机制及制度</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（3）历次出资变动</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组织架构及人员配置情况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（二） 业务经营历史情况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过往管理基金的投资偏好：投资类型、地域范围、行业、规模、阶段等</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过往管理基金运营情况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（1）管理团队成员成功募集股权投资基金情况（个数、金额、出资人名录及结构等）</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（2）曾管理基金的内部收益率</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（3）按时（包括延长期）完成基金退出的情况（包括到期项目退出比例、到期投资回收比例等）</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（4）IPO退出的情况及所占项目比例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（5）被投资项目成功进行了后一次融资（且增值）的比例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已投资项目</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主要已投资项目介绍（其中至少包括三个处于拟组建基金主投领域），包括投资时项目企业概况、投资分析概要、投资金额和比例、资金到位证明、股权持有时间长度、投资阶段（轮次）、投资收益率、项目近期概况包括财务情况、联系人及联系方式等</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（2）以往投资企业列表</w:t>
      </w:r>
      <w:bookmarkStart w:id="0" w:name="_GoBack"/>
      <w:bookmarkEnd w:id="0"/>
      <w:r>
        <w:rPr>
          <w:rFonts w:hint="eastAsia" w:ascii="仿宋" w:hAnsi="仿宋" w:eastAsia="仿宋" w:cs="仿宋"/>
          <w:sz w:val="32"/>
          <w:szCs w:val="32"/>
        </w:rPr>
        <w:t>。包括项目企业名称、行业、投资时间、投资轮次、投资金额和占股比例、投资后项目业绩等。</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（3）投资合作伙伴</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（三）拟组建子基金的投资管理团队情况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投资管理团队组织架构</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主要投资管理团队</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（1）主要团队成员介绍（包含时间的工作履历、教育背景、当前管理基金情况）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（2）管理团队及成员作为牵头投资人的投资项目列表及团队成员个人发挥的作用</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（3）团队成员相互合作经历</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（4）团队成员兼职情况（全职比例、主要成员正在管理其他基金的情况）</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（四）团队能力评估</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投资能力</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（1）项目来源渠道</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（2）投资决策流程及风险控制</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（3）获取项目的策略和优势</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（4）作为牵头投资人的经验</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项目管理能力</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（1）细分行业投资经验</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（2）提供增值服务的能力和成绩</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退出能力</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（1）项目评级分类标准</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（2）投资损失类项目的处理流程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（3）项目退出方式的历史数据</w:t>
      </w:r>
    </w:p>
    <w:tbl>
      <w:tblPr>
        <w:tblStyle w:val="3"/>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1134"/>
        <w:gridCol w:w="2410"/>
        <w:gridCol w:w="1417"/>
        <w:gridCol w:w="141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0" w:hRule="atLeast"/>
        </w:trPr>
        <w:tc>
          <w:tcPr>
            <w:tcW w:w="226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退出方式</w:t>
            </w: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 xml:space="preserve"> IPO</w:t>
            </w:r>
          </w:p>
        </w:tc>
        <w:tc>
          <w:tcPr>
            <w:tcW w:w="241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 xml:space="preserve">    并购转让</w:t>
            </w: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 xml:space="preserve">  回购</w:t>
            </w:r>
          </w:p>
        </w:tc>
        <w:tc>
          <w:tcPr>
            <w:tcW w:w="14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 xml:space="preserve">  清算</w:t>
            </w: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 xml:space="preserve">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项目数</w:t>
            </w: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241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平均持有时间</w:t>
            </w: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241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平均收益率</w:t>
            </w: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241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textAlignment w:val="auto"/>
              <w:rPr>
                <w:rFonts w:ascii="仿宋" w:hAnsi="仿宋" w:eastAsia="仿宋" w:cs="仿宋"/>
                <w:sz w:val="32"/>
                <w:szCs w:val="32"/>
              </w:rPr>
            </w:pPr>
            <w:r>
              <w:rPr>
                <w:rFonts w:hint="eastAsia" w:ascii="仿宋" w:hAnsi="仿宋" w:eastAsia="仿宋" w:cs="仿宋"/>
                <w:sz w:val="32"/>
                <w:szCs w:val="32"/>
              </w:rPr>
              <w:t>平均IRR</w:t>
            </w: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241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c>
          <w:tcPr>
            <w:tcW w:w="14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00"/>
              <w:textAlignment w:val="auto"/>
              <w:rPr>
                <w:rFonts w:ascii="仿宋" w:hAnsi="仿宋" w:eastAsia="仿宋" w:cs="仿宋"/>
                <w:sz w:val="32"/>
                <w:szCs w:val="32"/>
              </w:rPr>
            </w:pPr>
          </w:p>
        </w:tc>
      </w:tr>
    </w:tbl>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textAlignment w:val="auto"/>
        <w:rPr>
          <w:rFonts w:ascii="仿宋" w:hAnsi="仿宋" w:eastAsia="仿宋" w:cs="仿宋"/>
          <w:sz w:val="32"/>
          <w:szCs w:val="32"/>
        </w:rPr>
      </w:pPr>
      <w:r>
        <w:rPr>
          <w:rFonts w:hint="eastAsia" w:ascii="仿宋" w:hAnsi="仿宋" w:eastAsia="仿宋" w:cs="仿宋"/>
          <w:sz w:val="32"/>
          <w:szCs w:val="32"/>
        </w:rPr>
        <w:t>（五） 管理偏好</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向被投资企业派遣管理人员的情况及案例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outlineLvl w:val="0"/>
        <w:rPr>
          <w:rFonts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向被投资企业派遣董事的情况及案例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首次投资完成时保留重大事项否决权的情况及案例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textAlignment w:val="auto"/>
        <w:rPr>
          <w:rFonts w:ascii="仿宋" w:hAnsi="仿宋" w:eastAsia="仿宋" w:cs="仿宋"/>
          <w:sz w:val="32"/>
          <w:szCs w:val="32"/>
        </w:rPr>
        <w:sectPr>
          <w:pgSz w:w="11906" w:h="16838"/>
          <w:pgMar w:top="1701" w:right="1587" w:bottom="1701" w:left="1587" w:header="851" w:footer="992" w:gutter="0"/>
          <w:pgNumType w:fmt="numberInDash"/>
          <w:cols w:space="720" w:num="1"/>
          <w:rtlGutter w:val="0"/>
          <w:docGrid w:type="lines" w:linePitch="312" w:charSpace="0"/>
        </w:sectPr>
      </w:pPr>
      <w:r>
        <w:rPr>
          <w:rFonts w:hint="eastAsia" w:ascii="仿宋" w:hAnsi="仿宋" w:eastAsia="仿宋" w:cs="仿宋"/>
          <w:b/>
          <w:sz w:val="32"/>
          <w:szCs w:val="32"/>
        </w:rPr>
        <w:t>4.</w:t>
      </w:r>
      <w:r>
        <w:rPr>
          <w:rFonts w:hint="eastAsia" w:ascii="仿宋" w:hAnsi="仿宋" w:eastAsia="仿宋" w:cs="仿宋"/>
          <w:sz w:val="32"/>
          <w:szCs w:val="32"/>
        </w:rPr>
        <w:t>投资后与被投资企业跟踪交流的频率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308E3"/>
    <w:rsid w:val="4343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2017-12-19T08:05:00Z</dcterms:created>
  <dc:creator>Administrator</dc:creator>
  <cp:lastModifiedBy>Administrator</cp:lastModifiedBy>
  <dcterms:modified xsi:type="dcterms:W3CDTF">2017-12-19T08:06:57Z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